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FC2" w:rsidRPr="00523FC2" w:rsidRDefault="00523FC2" w:rsidP="00013776">
      <w:pPr>
        <w:jc w:val="center"/>
        <w:rPr>
          <w:b/>
          <w:noProof/>
          <w:sz w:val="28"/>
          <w:szCs w:val="28"/>
          <w:lang w:val="sr-Latn-RS"/>
        </w:rPr>
      </w:pPr>
      <w:r w:rsidRPr="00523FC2">
        <w:rPr>
          <w:b/>
          <w:noProof/>
          <w:sz w:val="28"/>
          <w:szCs w:val="28"/>
          <w:lang w:val="sr-Latn-RS"/>
        </w:rPr>
        <w:t>ZAKON</w:t>
      </w:r>
    </w:p>
    <w:p w:rsidR="00523FC2" w:rsidRPr="00523FC2" w:rsidRDefault="00523FC2" w:rsidP="00013776">
      <w:pPr>
        <w:jc w:val="center"/>
        <w:rPr>
          <w:b/>
          <w:noProof/>
          <w:sz w:val="28"/>
          <w:szCs w:val="28"/>
          <w:lang w:val="sr-Latn-RS"/>
        </w:rPr>
      </w:pPr>
      <w:r w:rsidRPr="00523FC2">
        <w:rPr>
          <w:b/>
          <w:noProof/>
          <w:sz w:val="28"/>
          <w:szCs w:val="28"/>
          <w:lang w:val="sr-Latn-RS"/>
        </w:rPr>
        <w:t>O IZMJENI I DOPUNAMA ZAKONA O PODSTICAJIMA</w:t>
      </w:r>
    </w:p>
    <w:p w:rsidR="00523FC2" w:rsidRPr="00523FC2" w:rsidRDefault="00523FC2" w:rsidP="00013776">
      <w:pPr>
        <w:jc w:val="center"/>
        <w:rPr>
          <w:b/>
          <w:noProof/>
          <w:sz w:val="28"/>
          <w:szCs w:val="28"/>
          <w:lang w:val="sr-Latn-RS"/>
        </w:rPr>
      </w:pPr>
      <w:r w:rsidRPr="00523FC2">
        <w:rPr>
          <w:b/>
          <w:noProof/>
          <w:sz w:val="28"/>
          <w:szCs w:val="28"/>
          <w:lang w:val="sr-Latn-RS"/>
        </w:rPr>
        <w:t>U PRIVREDI REPUBLIKE SRPSKE</w:t>
      </w:r>
    </w:p>
    <w:p w:rsidR="00523FC2" w:rsidRPr="00523FC2" w:rsidRDefault="00523FC2" w:rsidP="00013776">
      <w:pPr>
        <w:pStyle w:val="Subtitle"/>
        <w:jc w:val="both"/>
        <w:rPr>
          <w:rFonts w:ascii="Times New Roman" w:hAnsi="Times New Roman"/>
          <w:b w:val="0"/>
          <w:noProof/>
          <w:sz w:val="26"/>
          <w:szCs w:val="26"/>
          <w:lang w:val="sr-Latn-RS"/>
        </w:rPr>
      </w:pPr>
    </w:p>
    <w:p w:rsidR="00523FC2" w:rsidRPr="00523FC2" w:rsidRDefault="00523FC2" w:rsidP="00013776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bCs/>
          <w:noProof/>
          <w:szCs w:val="24"/>
          <w:lang w:val="sr-Latn-RS"/>
        </w:rPr>
        <w:t>Član 1.</w:t>
      </w:r>
    </w:p>
    <w:p w:rsidR="00523FC2" w:rsidRPr="00523FC2" w:rsidRDefault="00523FC2" w:rsidP="00013776">
      <w:pPr>
        <w:pStyle w:val="Subtitle"/>
        <w:jc w:val="both"/>
        <w:rPr>
          <w:rFonts w:ascii="Times New Roman" w:hAnsi="Times New Roman"/>
          <w:b w:val="0"/>
          <w:bCs/>
          <w:noProof/>
          <w:szCs w:val="24"/>
          <w:lang w:val="sr-Latn-RS"/>
        </w:rPr>
      </w:pPr>
    </w:p>
    <w:p w:rsidR="00523FC2" w:rsidRPr="00523FC2" w:rsidRDefault="00523FC2" w:rsidP="00013776">
      <w:pPr>
        <w:pStyle w:val="Subtitle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U Zakonu o podsticajima u privredi Republike Srpske („Službeni glasnik Republike Srpske“, broj 52/19) poslije člana 5. dodaje se novi član 5a, koji glasi:</w:t>
      </w:r>
    </w:p>
    <w:p w:rsidR="00523FC2" w:rsidRPr="00523FC2" w:rsidRDefault="00523FC2" w:rsidP="00013776">
      <w:pPr>
        <w:pStyle w:val="Subtitle"/>
        <w:jc w:val="center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>„Član 5a.</w:t>
      </w: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Podsticajna sredstva za razvoj privrede ne odobravaju se privrednim subjektima u kojima je Republika Srpska, odnosno jedinica lokalne samouprave vlasnik kapitala više od 50%, osim pravnih lica čija je pretežna djelatnost iz Područja C – Prerađivačka industrija i Područja I – Djelatnosti pružanja smještaja, pripreme i posluživanja hrane, hotelijerstvo i ugostiteljstvo, u skladu sa Uredbom o klasifikaciji djelatnosti Republike Srpske.“</w:t>
      </w: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</w:p>
    <w:p w:rsidR="00523FC2" w:rsidRPr="00523FC2" w:rsidRDefault="00523FC2" w:rsidP="00013776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bCs/>
          <w:noProof/>
          <w:szCs w:val="24"/>
          <w:lang w:val="sr-Latn-RS"/>
        </w:rPr>
        <w:t>Član 2.</w:t>
      </w: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Član 6. mijenja se i glasi:</w:t>
      </w: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„(1) Povećanje plate utvrđuje se dovodeći u vezu visinu plate koja je radnicima kod privrednog subjekta isplaćena za mart 2019. godine sa visinom plate koju radnici imaju poslije stupanja na snagu ovog zakona.</w:t>
      </w: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(2) U slučaju da su radnici kod privrednog subjekta imali umanjenu platu zbog privremene spriječenosti za rad u skladu sa propisima o zdravstvenom osiguranju za mart 2019. godine, visina plate u odnosu na koju se posmatra povećanje je njihova posljednja puna isplaćena plata prije zdravstvene spriječenosti za rad.</w:t>
      </w: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(3) Ako su radnici zasnovali radni odnos kod privrednog subjekta tokom marta 2019. godine, visina plate u odnosu na koju se posmatra povećanje je njihova plata za april 2019. godine.</w:t>
      </w: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(4) Visina plate radnika za mart 2019. godine, odnosno visina plate za odgovarajuće mjesece u slučajevima iz st. 2. i 3. ovog člana, predstavlja početni iznos za utvrđivanje povećanja plate radnika (u daljem tekstu: početni iznos plate).</w:t>
      </w: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(5) U slučaju promjene najniže plate, za radnike koji su u mjesecima iz st. 1. do 3. ovog člana imali platu nižu od važeće najniže plate u Republici Srpskoj početni iznos plate jednak je visini važeće najniže plate.</w:t>
      </w: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(6) Privredni subjekt može ostvariti pravo na podsticaj za povećanje plate samo za radnike sa kojima je po osnovu ugovora o radu zasnovao radni odnos najkasnije do prvog dana obračunskog perioda, koji prethodi periodu za koji se traži podsticaj.</w:t>
      </w: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(7) Za radnike koji su zasnovali radni odnos poslije marta 2019. godine početni iznos plate je prosječna visina plate u obračunskom periodu, koji prethodi mjesecu u kojem je ostvareno pravo na podsticaj za te radnike.</w:t>
      </w:r>
    </w:p>
    <w:p w:rsidR="00523FC2" w:rsidRPr="00523FC2" w:rsidRDefault="00523FC2" w:rsidP="00013776">
      <w:pPr>
        <w:pStyle w:val="Subtitle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(8) U slučaju iz stava 7. ovog člana, za radnika čija je prosječna visina plate u obračunskom periodu niža od važeće najniže plate u Republici Srpskoj početni iznos plate jednak je visini važeće najniže plate.</w:t>
      </w:r>
    </w:p>
    <w:p w:rsidR="00523FC2" w:rsidRPr="00523FC2" w:rsidRDefault="00523FC2" w:rsidP="00013776">
      <w:pPr>
        <w:pStyle w:val="Subtitle"/>
        <w:jc w:val="both"/>
        <w:rPr>
          <w:rFonts w:ascii="Times New Roman" w:hAnsi="Times New Roman"/>
          <w:b w:val="0"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noProof/>
          <w:szCs w:val="24"/>
          <w:lang w:val="sr-Latn-RS"/>
        </w:rPr>
        <w:tab/>
        <w:t>(9) St. 5. do 8. ovog člana primjenjuju se od obračunskog perioda koji počinje 1. jula 2020. godine.“</w:t>
      </w:r>
    </w:p>
    <w:p w:rsidR="00523FC2" w:rsidRPr="00523FC2" w:rsidRDefault="00523FC2" w:rsidP="00013776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RS"/>
        </w:rPr>
      </w:pPr>
    </w:p>
    <w:p w:rsidR="00523FC2" w:rsidRPr="00523FC2" w:rsidRDefault="00523FC2" w:rsidP="00013776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RS"/>
        </w:rPr>
      </w:pPr>
    </w:p>
    <w:p w:rsidR="00523FC2" w:rsidRDefault="00523FC2" w:rsidP="00013776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RS"/>
        </w:rPr>
      </w:pPr>
    </w:p>
    <w:p w:rsidR="00523FC2" w:rsidRPr="00523FC2" w:rsidRDefault="00523FC2" w:rsidP="00013776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bCs/>
          <w:noProof/>
          <w:szCs w:val="24"/>
          <w:lang w:val="sr-Latn-RS"/>
        </w:rPr>
        <w:lastRenderedPageBreak/>
        <w:t>Član 3.</w:t>
      </w:r>
    </w:p>
    <w:p w:rsidR="00523FC2" w:rsidRPr="00523FC2" w:rsidRDefault="00523FC2" w:rsidP="00013776">
      <w:pPr>
        <w:pStyle w:val="Subtitle"/>
        <w:rPr>
          <w:rFonts w:ascii="Times New Roman" w:hAnsi="Times New Roman"/>
          <w:b w:val="0"/>
          <w:bCs/>
          <w:noProof/>
          <w:szCs w:val="24"/>
          <w:lang w:val="sr-Latn-RS"/>
        </w:rPr>
      </w:pPr>
    </w:p>
    <w:p w:rsidR="00523FC2" w:rsidRPr="00523FC2" w:rsidRDefault="00523FC2" w:rsidP="00013776">
      <w:pPr>
        <w:pStyle w:val="Subtitle"/>
        <w:jc w:val="both"/>
        <w:rPr>
          <w:rFonts w:ascii="Times New Roman" w:hAnsi="Times New Roman"/>
          <w:b w:val="0"/>
          <w:bCs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bCs/>
          <w:noProof/>
          <w:szCs w:val="24"/>
          <w:lang w:val="sr-Latn-RS"/>
        </w:rPr>
        <w:tab/>
        <w:t>U članu 8. u stavu 1. u tački 3) poslije riječi: „sistem,“ dodaju se riječi: „koje su nastale do posljednjeg dana obračunskog perioda za koji se podnosi zahtjev za podsticaj za povećanje plate radnika,“.</w:t>
      </w:r>
    </w:p>
    <w:p w:rsidR="00523FC2" w:rsidRPr="00523FC2" w:rsidRDefault="00523FC2" w:rsidP="00013776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RS"/>
        </w:rPr>
      </w:pPr>
    </w:p>
    <w:p w:rsidR="00523FC2" w:rsidRPr="00523FC2" w:rsidRDefault="00523FC2" w:rsidP="00013776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RS"/>
        </w:rPr>
      </w:pPr>
      <w:r w:rsidRPr="00523FC2">
        <w:rPr>
          <w:rFonts w:ascii="Times New Roman" w:hAnsi="Times New Roman"/>
          <w:b w:val="0"/>
          <w:bCs/>
          <w:noProof/>
          <w:szCs w:val="24"/>
          <w:lang w:val="sr-Latn-RS"/>
        </w:rPr>
        <w:t>Član 4.</w:t>
      </w:r>
    </w:p>
    <w:p w:rsidR="00523FC2" w:rsidRPr="00523FC2" w:rsidRDefault="00523FC2" w:rsidP="00013776">
      <w:pPr>
        <w:jc w:val="center"/>
        <w:rPr>
          <w:noProof/>
          <w:lang w:val="sr-Latn-RS"/>
        </w:rPr>
      </w:pPr>
    </w:p>
    <w:p w:rsidR="00523FC2" w:rsidRPr="00523FC2" w:rsidRDefault="00523FC2" w:rsidP="00013776">
      <w:pPr>
        <w:jc w:val="both"/>
        <w:rPr>
          <w:noProof/>
          <w:lang w:val="sr-Latn-RS"/>
        </w:rPr>
      </w:pPr>
      <w:r w:rsidRPr="00523FC2">
        <w:rPr>
          <w:noProof/>
          <w:lang w:val="sr-Latn-RS"/>
        </w:rPr>
        <w:tab/>
        <w:t>Ovaj zakon stupa na snagu osmog dana od dana objavljivanja u „Službenom glasniku Republike Srpske“, osim člana 2. ovog zakona, koji stupa na snagu 1. jula 2020. godine.</w:t>
      </w:r>
    </w:p>
    <w:p w:rsidR="00523FC2" w:rsidRPr="00523FC2" w:rsidRDefault="00523FC2" w:rsidP="00013776">
      <w:pPr>
        <w:ind w:firstLine="720"/>
        <w:jc w:val="both"/>
        <w:rPr>
          <w:noProof/>
          <w:lang w:val="sr-Latn-RS"/>
        </w:rPr>
      </w:pPr>
    </w:p>
    <w:p w:rsidR="00523FC2" w:rsidRPr="00523FC2" w:rsidRDefault="00523FC2" w:rsidP="00013776">
      <w:pPr>
        <w:ind w:firstLine="720"/>
        <w:jc w:val="both"/>
        <w:rPr>
          <w:noProof/>
          <w:lang w:val="sr-Latn-RS"/>
        </w:rPr>
      </w:pPr>
    </w:p>
    <w:p w:rsidR="00523FC2" w:rsidRPr="00523FC2" w:rsidRDefault="00523FC2" w:rsidP="00013776">
      <w:pPr>
        <w:ind w:firstLine="720"/>
        <w:jc w:val="both"/>
        <w:rPr>
          <w:noProof/>
          <w:lang w:val="sr-Latn-RS"/>
        </w:rPr>
      </w:pPr>
    </w:p>
    <w:p w:rsidR="00523FC2" w:rsidRPr="00523FC2" w:rsidRDefault="00E02AD6" w:rsidP="00013776">
      <w:pPr>
        <w:tabs>
          <w:tab w:val="center" w:pos="7560"/>
        </w:tabs>
        <w:rPr>
          <w:noProof/>
          <w:lang w:val="sr-Latn-RS"/>
        </w:rPr>
      </w:pPr>
      <w:r>
        <w:rPr>
          <w:noProof/>
          <w:lang w:val="sr-Latn-RS"/>
        </w:rPr>
        <w:t>Broj: 02/1-021-575</w:t>
      </w:r>
      <w:bookmarkStart w:id="0" w:name="_GoBack"/>
      <w:bookmarkEnd w:id="0"/>
      <w:r w:rsidR="00523FC2" w:rsidRPr="00523FC2">
        <w:rPr>
          <w:noProof/>
          <w:lang w:val="sr-Latn-RS"/>
        </w:rPr>
        <w:t>/20</w:t>
      </w:r>
      <w:r w:rsidR="00523FC2" w:rsidRPr="00523FC2">
        <w:rPr>
          <w:noProof/>
          <w:lang w:val="sr-Latn-RS"/>
        </w:rPr>
        <w:tab/>
        <w:t xml:space="preserve">PREDSJEDNIK </w:t>
      </w:r>
    </w:p>
    <w:p w:rsidR="00523FC2" w:rsidRPr="00523FC2" w:rsidRDefault="00523FC2" w:rsidP="00013776">
      <w:pPr>
        <w:tabs>
          <w:tab w:val="center" w:pos="7560"/>
        </w:tabs>
        <w:rPr>
          <w:noProof/>
          <w:lang w:val="sr-Latn-RS"/>
        </w:rPr>
      </w:pPr>
      <w:r w:rsidRPr="00523FC2">
        <w:rPr>
          <w:noProof/>
          <w:lang w:val="sr-Latn-RS"/>
        </w:rPr>
        <w:t>Datum: 22. jula 2020.godine</w:t>
      </w:r>
      <w:r w:rsidRPr="00523FC2">
        <w:rPr>
          <w:noProof/>
          <w:lang w:val="sr-Latn-RS"/>
        </w:rPr>
        <w:tab/>
        <w:t>NARODNE SKUPŠTINE</w:t>
      </w:r>
    </w:p>
    <w:p w:rsidR="00523FC2" w:rsidRPr="00523FC2" w:rsidRDefault="00523FC2" w:rsidP="00013776">
      <w:pPr>
        <w:tabs>
          <w:tab w:val="center" w:pos="7920"/>
        </w:tabs>
        <w:rPr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rPr>
          <w:noProof/>
          <w:lang w:val="sr-Latn-RS"/>
        </w:rPr>
      </w:pPr>
      <w:r w:rsidRPr="00523FC2">
        <w:rPr>
          <w:noProof/>
          <w:lang w:val="sr-Latn-RS"/>
        </w:rPr>
        <w:tab/>
        <w:t>Nedeljko Čubrilović</w:t>
      </w: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523FC2" w:rsidRDefault="00523FC2" w:rsidP="00013776">
      <w:pPr>
        <w:tabs>
          <w:tab w:val="center" w:pos="7560"/>
        </w:tabs>
        <w:jc w:val="both"/>
        <w:rPr>
          <w:iCs/>
          <w:noProof/>
          <w:lang w:val="sr-Latn-RS"/>
        </w:rPr>
      </w:pPr>
    </w:p>
    <w:p w:rsidR="00523FC2" w:rsidRPr="00013776" w:rsidRDefault="00523FC2">
      <w:pPr>
        <w:rPr>
          <w:noProof/>
          <w:lang w:val="sr-Latn-RS"/>
        </w:rPr>
      </w:pPr>
    </w:p>
    <w:sectPr w:rsidR="00523FC2" w:rsidRPr="00013776" w:rsidSect="00950FD7">
      <w:footerReference w:type="even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EF" w:rsidRDefault="009D2FEF">
      <w:r>
        <w:separator/>
      </w:r>
    </w:p>
  </w:endnote>
  <w:endnote w:type="continuationSeparator" w:id="0">
    <w:p w:rsidR="009D2FEF" w:rsidRDefault="009D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6A" w:rsidRDefault="00523F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22</w:t>
    </w:r>
    <w:r>
      <w:rPr>
        <w:rStyle w:val="PageNumber"/>
      </w:rPr>
      <w:fldChar w:fldCharType="end"/>
    </w:r>
  </w:p>
  <w:p w:rsidR="007E486A" w:rsidRDefault="009D2FE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6A" w:rsidRDefault="009D2FE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EF" w:rsidRDefault="009D2FEF">
      <w:r>
        <w:separator/>
      </w:r>
    </w:p>
  </w:footnote>
  <w:footnote w:type="continuationSeparator" w:id="0">
    <w:p w:rsidR="009D2FEF" w:rsidRDefault="009D2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B25"/>
    <w:rsid w:val="00180B25"/>
    <w:rsid w:val="00523FC2"/>
    <w:rsid w:val="00552D70"/>
    <w:rsid w:val="008E60ED"/>
    <w:rsid w:val="00962744"/>
    <w:rsid w:val="009D2FEF"/>
    <w:rsid w:val="009F564A"/>
    <w:rsid w:val="00A34DA6"/>
    <w:rsid w:val="00A36B20"/>
    <w:rsid w:val="00A6432B"/>
    <w:rsid w:val="00AB766B"/>
    <w:rsid w:val="00BF60DD"/>
    <w:rsid w:val="00DC0A39"/>
    <w:rsid w:val="00DD7D34"/>
    <w:rsid w:val="00E02AD6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FC2"/>
    <w:pPr>
      <w:spacing w:after="0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523FC2"/>
    <w:rPr>
      <w:rFonts w:ascii="Arial" w:hAnsi="Arial"/>
      <w:b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523FC2"/>
    <w:rPr>
      <w:rFonts w:ascii="Arial" w:eastAsia="Times New Roman" w:hAnsi="Arial" w:cs="Times New Roman"/>
      <w:b/>
      <w:szCs w:val="20"/>
      <w:lang w:val="x-none" w:eastAsia="x-none"/>
    </w:rPr>
  </w:style>
  <w:style w:type="character" w:styleId="PageNumber">
    <w:name w:val="page number"/>
    <w:basedOn w:val="DefaultParagraphFont"/>
    <w:rsid w:val="00523FC2"/>
  </w:style>
  <w:style w:type="paragraph" w:styleId="Footer">
    <w:name w:val="footer"/>
    <w:basedOn w:val="Normal"/>
    <w:link w:val="FooterChar"/>
    <w:rsid w:val="00523FC2"/>
    <w:pPr>
      <w:tabs>
        <w:tab w:val="center" w:pos="4320"/>
        <w:tab w:val="right" w:pos="8640"/>
      </w:tabs>
    </w:pPr>
    <w:rPr>
      <w:sz w:val="20"/>
      <w:szCs w:val="20"/>
      <w:lang w:val="en-AU" w:eastAsia="x-none"/>
    </w:rPr>
  </w:style>
  <w:style w:type="character" w:customStyle="1" w:styleId="FooterChar">
    <w:name w:val="Footer Char"/>
    <w:basedOn w:val="DefaultParagraphFont"/>
    <w:link w:val="Footer"/>
    <w:rsid w:val="00523FC2"/>
    <w:rPr>
      <w:rFonts w:ascii="Times New Roman" w:eastAsia="Times New Roman" w:hAnsi="Times New Roman" w:cs="Times New Roman"/>
      <w:sz w:val="20"/>
      <w:szCs w:val="20"/>
      <w:lang w:val="en-A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FC2"/>
    <w:pPr>
      <w:spacing w:after="0"/>
      <w:jc w:val="left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523FC2"/>
    <w:rPr>
      <w:rFonts w:ascii="Arial" w:hAnsi="Arial"/>
      <w:b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523FC2"/>
    <w:rPr>
      <w:rFonts w:ascii="Arial" w:eastAsia="Times New Roman" w:hAnsi="Arial" w:cs="Times New Roman"/>
      <w:b/>
      <w:szCs w:val="20"/>
      <w:lang w:val="x-none" w:eastAsia="x-none"/>
    </w:rPr>
  </w:style>
  <w:style w:type="character" w:styleId="PageNumber">
    <w:name w:val="page number"/>
    <w:basedOn w:val="DefaultParagraphFont"/>
    <w:rsid w:val="00523FC2"/>
  </w:style>
  <w:style w:type="paragraph" w:styleId="Footer">
    <w:name w:val="footer"/>
    <w:basedOn w:val="Normal"/>
    <w:link w:val="FooterChar"/>
    <w:rsid w:val="00523FC2"/>
    <w:pPr>
      <w:tabs>
        <w:tab w:val="center" w:pos="4320"/>
        <w:tab w:val="right" w:pos="8640"/>
      </w:tabs>
    </w:pPr>
    <w:rPr>
      <w:sz w:val="20"/>
      <w:szCs w:val="20"/>
      <w:lang w:val="en-AU" w:eastAsia="x-none"/>
    </w:rPr>
  </w:style>
  <w:style w:type="character" w:customStyle="1" w:styleId="FooterChar">
    <w:name w:val="Footer Char"/>
    <w:basedOn w:val="DefaultParagraphFont"/>
    <w:link w:val="Footer"/>
    <w:rsid w:val="00523FC2"/>
    <w:rPr>
      <w:rFonts w:ascii="Times New Roman" w:eastAsia="Times New Roman" w:hAnsi="Times New Roman" w:cs="Times New Roman"/>
      <w:sz w:val="20"/>
      <w:szCs w:val="20"/>
      <w:lang w:val="en-A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cp:lastPrinted>2020-07-22T10:37:00Z</cp:lastPrinted>
  <dcterms:created xsi:type="dcterms:W3CDTF">2020-07-22T10:36:00Z</dcterms:created>
  <dcterms:modified xsi:type="dcterms:W3CDTF">2020-07-23T08:05:00Z</dcterms:modified>
</cp:coreProperties>
</file>